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ocumentos necesarios para el Retiro del SAR por Beneficiarios en Pensionissste o donde se encuentre la Afore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rta protesta y Aviso Legal requisitados , ( estos Formatos los entrega PENSIONISSSTE 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licitud de servicio (Proporcionada por PENSIONISSSTE) Origin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dentificación oficial vigente del titular de la cuenta y de los Beneficiarios , Pasaporte o Cédula profesional)  Validada ( se obtiene de la Página de Internet de la lista Nominal ) Original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ta de nacimiento ( Titular y Beneficiarios ) Formato Actualizado en Origin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a de defunción en Formato actualizado Original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dentificación oficial vigente del titular de la cuenta y de los Beneficiarios , Pasaporte o Cédula profesional)  Validada ( se obtiene de la Página de Internet de la lista Nominal ) Original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omprobante de domicilio, con una vigencia no mayor a 3 meses (recibo de teléfono, boleta predial, recibo de luz o recibo del agua) Origin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URP  Titular y Beneficiari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édula de Identificación Fiscal RFC del Beneficiario Origin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cesión de Pensión por Viudez, Orfandad o Ascendencia Original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tado de cuenta bancario a nombre del Beneficiario , que contenga la Clabe Bancaria Estandarizada (CLABE) a 18 posiciones  Original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jas de Servicio  y Recibo de Pago Conalep original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